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43670A3F"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PŘÍLOHA 6</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1A71B9" w:rsidRDefault="00292F77" w:rsidP="00B111FC">
      <w:pPr>
        <w:spacing w:after="0" w:line="288" w:lineRule="auto"/>
        <w:jc w:val="center"/>
        <w:rPr>
          <w:rFonts w:ascii="Arial" w:eastAsia="MS Mincho" w:hAnsi="Arial" w:cs="Arial"/>
          <w:caps/>
          <w:color w:val="000000"/>
          <w:sz w:val="36"/>
          <w:szCs w:val="36"/>
          <w:lang w:eastAsia="ja-JP"/>
        </w:rPr>
      </w:pPr>
    </w:p>
    <w:p w14:paraId="484C23D4" w14:textId="1E6167DE" w:rsidR="001A71B9" w:rsidRPr="001A71B9" w:rsidRDefault="001A71B9" w:rsidP="001A71B9">
      <w:pPr>
        <w:pStyle w:val="Zkladnodstavec"/>
        <w:jc w:val="center"/>
        <w:rPr>
          <w:rFonts w:ascii="Arial" w:hAnsi="Arial" w:cs="Arial"/>
          <w:caps/>
          <w:sz w:val="36"/>
          <w:szCs w:val="36"/>
        </w:rPr>
      </w:pPr>
      <w:r w:rsidRPr="001A71B9">
        <w:rPr>
          <w:rFonts w:ascii="Arial" w:hAnsi="Arial" w:cs="Arial"/>
          <w:caps/>
          <w:sz w:val="36"/>
          <w:szCs w:val="36"/>
        </w:rPr>
        <w:t xml:space="preserve">110. výzva </w:t>
      </w:r>
      <w:proofErr w:type="gramStart"/>
      <w:r w:rsidRPr="001A71B9">
        <w:rPr>
          <w:rFonts w:ascii="Arial" w:hAnsi="Arial" w:cs="Arial"/>
          <w:caps/>
          <w:sz w:val="36"/>
          <w:szCs w:val="36"/>
        </w:rPr>
        <w:t>irop - NÍZKOEMISNÍ</w:t>
      </w:r>
      <w:proofErr w:type="gramEnd"/>
      <w:r w:rsidRPr="001A71B9">
        <w:rPr>
          <w:rFonts w:ascii="Arial" w:hAnsi="Arial" w:cs="Arial"/>
          <w:caps/>
          <w:sz w:val="36"/>
          <w:szCs w:val="36"/>
        </w:rPr>
        <w:t xml:space="preserve"> A BEZEMISNÍ VOZIDLA PRO VEŘEJNOU DOPRAVU - SC 6.1 (VRR)</w:t>
      </w:r>
    </w:p>
    <w:p w14:paraId="10AE19F1" w14:textId="77777777" w:rsidR="00292F77" w:rsidRPr="001A71B9" w:rsidRDefault="00292F77" w:rsidP="002D2410">
      <w:pPr>
        <w:jc w:val="center"/>
        <w:rPr>
          <w:rFonts w:ascii="Arial" w:hAnsi="Arial" w:cs="Arial"/>
          <w:caps/>
          <w:color w:val="7F7F7F" w:themeColor="text1" w:themeTint="80"/>
          <w:sz w:val="24"/>
          <w:szCs w:val="24"/>
        </w:rPr>
      </w:pP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0737"/>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20</Pages>
  <Words>6303</Words>
  <Characters>37193</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Janda Martin - OŘOP</cp:lastModifiedBy>
  <cp:revision>25</cp:revision>
  <cp:lastPrinted>2023-03-16T16:50:00Z</cp:lastPrinted>
  <dcterms:created xsi:type="dcterms:W3CDTF">2023-03-27T13:39:00Z</dcterms:created>
  <dcterms:modified xsi:type="dcterms:W3CDTF">2023-09-14T06:16:00Z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